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36" w:rsidRPr="00E76636" w:rsidRDefault="00E76636" w:rsidP="00E76636">
      <w:pPr>
        <w:shd w:val="clear" w:color="auto" w:fill="FFFFFF"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E76636">
        <w:rPr>
          <w:rFonts w:ascii="Trebuchet MS" w:eastAsia="Times New Roman" w:hAnsi="Trebuchet MS" w:cs="Times New Roman"/>
          <w:b/>
          <w:bCs/>
          <w:color w:val="000000"/>
          <w:kern w:val="36"/>
          <w:sz w:val="36"/>
          <w:szCs w:val="36"/>
          <w:lang w:eastAsia="ru-RU"/>
        </w:rPr>
        <w:t>О неотложных мерах по противодействию незаконному обороту наркотиков</w:t>
      </w:r>
    </w:p>
    <w:p w:rsidR="00E76636" w:rsidRPr="00E76636" w:rsidRDefault="00E76636" w:rsidP="00E76636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</w:pP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t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 В этих целях Совету Министров Республики  Беларусь: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о состоянии дел в этой сфере.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</w:t>
      </w:r>
      <w:r w:rsidRPr="00E76636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обобщает практику применения законодательства в сфере противодействия незаконному обороту наркотиков;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3. Для целей настоящего Декрета используемые термины, если не установлено иное, имеют следующие значения: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наркотики – наркотические средства, психотропные вещества либо их прекурсоры и аналоги;</w:t>
      </w:r>
      <w:r w:rsidRPr="00E76636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 Установить, что: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кодекса Республики Беларусь,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свободы на срок от десяти до двадцати лет с конфискацией имущества или без конфискации;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8. Владельцы интернет-ресурсов обязаны:</w:t>
      </w:r>
      <w:r w:rsidRPr="00E76636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 Определить, что: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наложение штрафа в размере от десяти до пятнадцати базовых величин;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 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базовых величин, а на юридическое лицо – до ста базовых величин;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12. Предоставить право: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внутренних дел.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 xml:space="preserve"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t>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</w:t>
      </w:r>
      <w:r w:rsidRPr="00E76636">
        <w:rPr>
          <w:rFonts w:ascii="Trebuchet MS" w:eastAsia="Times New Roman" w:hAnsi="Trebuchet MS" w:cs="Times New Roman"/>
          <w:color w:val="323130"/>
          <w:sz w:val="21"/>
          <w:lang w:eastAsia="ru-RU"/>
        </w:rPr>
        <w:t> 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Письменный запрос в банк либо иную организацию, открывшую электронный кошелек, имеют право направлять от имени: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 Совету Министров Республики Беларусь: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19.2. в двухмесячный срок: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принять меры по: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организации специализированных лечебно-трудовых профилакториев для больных наркоманией или токсикоманией;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lastRenderedPageBreak/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20. Настоящий Декрет вступает в силу с 1 января 2015 г.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color w:val="323130"/>
          <w:sz w:val="21"/>
          <w:szCs w:val="21"/>
          <w:lang w:eastAsia="ru-RU"/>
        </w:rPr>
        <w:br/>
      </w:r>
      <w:r w:rsidRPr="00E76636">
        <w:rPr>
          <w:rFonts w:ascii="Trebuchet MS" w:eastAsia="Times New Roman" w:hAnsi="Trebuchet MS" w:cs="Times New Roman"/>
          <w:b/>
          <w:bCs/>
          <w:i/>
          <w:iCs/>
          <w:color w:val="323130"/>
          <w:sz w:val="21"/>
          <w:szCs w:val="21"/>
          <w:lang w:eastAsia="ru-RU"/>
        </w:rPr>
        <w:t>Президент Республики Беларусь                                       А.Лукашенко</w:t>
      </w:r>
    </w:p>
    <w:p w:rsidR="00820236" w:rsidRDefault="00820236"/>
    <w:sectPr w:rsidR="00820236" w:rsidSect="009C2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6636"/>
    <w:rsid w:val="00820236"/>
    <w:rsid w:val="009C2D37"/>
    <w:rsid w:val="00CF2D5E"/>
    <w:rsid w:val="00E7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37"/>
  </w:style>
  <w:style w:type="paragraph" w:styleId="1">
    <w:name w:val="heading 1"/>
    <w:basedOn w:val="a"/>
    <w:link w:val="10"/>
    <w:uiPriority w:val="9"/>
    <w:qFormat/>
    <w:rsid w:val="00E766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6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76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3852</Words>
  <Characters>21958</Characters>
  <Application>Microsoft Office Word</Application>
  <DocSecurity>0</DocSecurity>
  <Lines>182</Lines>
  <Paragraphs>51</Paragraphs>
  <ScaleCrop>false</ScaleCrop>
  <Company/>
  <LinksUpToDate>false</LinksUpToDate>
  <CharactersWithSpaces>25759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itex</dc:creator>
  <cp:keywords/>
  <dc:description/>
  <cp:lastModifiedBy>itex</cp:lastModifiedBy>
  <cp:revision>2</cp:revision>
  <dcterms:created xsi:type="dcterms:W3CDTF">2015-01-20T12:36:00Z</dcterms:created>
  <dcterms:modified xsi:type="dcterms:W3CDTF">2015-01-20T12:36:00Z</dcterms:modified>
</cp:coreProperties>
</file>